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3024000" cy="81682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mpi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8168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/>
      </w:pPr>
      <w:r>
        <w:rPr>
          <w:b/>
          <w:color w:val="08B7C2"/>
          <w:sz w:val="20"/>
        </w:rPr>
        <w:t>DOSSIER FUNCIONAL Y DE INTERFAZ  ·  ESPECIFICACIÓN PARA DESARROLLO</w:t>
      </w:r>
    </w:p>
    <w:p>
      <w:pPr>
        <w:pStyle w:val="Title"/>
      </w:pPr>
      <w:r>
        <w:t>08  Contabilidad</w:t>
      </w:r>
    </w:p>
    <w:p>
      <w:r>
        <w:rPr>
          <w:b/>
          <w:color w:val="60758A"/>
          <w:sz w:val="18"/>
        </w:rPr>
        <w:t>ERP EMPRESARIAL    |    Ámbito: Canarias    |    Versión 1.0 · 18/10/2026</w:t>
      </w:r>
    </w:p>
    <w:p>
      <w:r>
        <w:t>Registrar y revisar operaciones económicas de acuerdo con el plan contable didáctico, elaborar libros y estados y mantener correspondencia con documentos de origen.</w:t>
      </w:r>
    </w:p>
    <w:p>
      <w:pPr>
        <w:pStyle w:val="Heading2"/>
      </w:pPr>
      <w:r>
        <w:t>Resumen de la especificación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11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PROCEDIMIENTO</w:t>
            </w:r>
          </w:p>
        </w:tc>
        <w:tc>
          <w:tcPr>
            <w:tcW w:type="dxa" w:w="283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VISTAS/PANTALLAS</w:t>
            </w:r>
          </w:p>
        </w:tc>
        <w:tc>
          <w:tcPr>
            <w:tcW w:type="dxa" w:w="918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PERFILES IMPLICADOS</w:t>
            </w:r>
          </w:p>
        </w:tc>
      </w:tr>
      <w:tr>
        <w:tc>
          <w:tcPr>
            <w:tcW w:type="dxa" w:w="311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9 fases operativas</w:t>
            </w:r>
          </w:p>
        </w:tc>
        <w:tc>
          <w:tcPr>
            <w:tcW w:type="dxa" w:w="283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7 vistas documentadas</w:t>
            </w:r>
          </w:p>
        </w:tc>
        <w:tc>
          <w:tcPr>
            <w:tcW w:type="dxa" w:w="918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Contabilidad; dirección; tesorería; personal evaluador</w:t>
            </w:r>
          </w:p>
        </w:tc>
      </w:tr>
    </w:tbl>
    <w:p>
      <w:pPr>
        <w:spacing w:after="20"/>
      </w:pPr>
    </w:p>
    <w:p>
      <w:pPr>
        <w:pStyle w:val="Heading2"/>
      </w:pPr>
      <w:r>
        <w:t>Navegación prevista del módulo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751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PRIMER GRUPO DE VISTAS</w:t>
            </w:r>
          </w:p>
        </w:tc>
        <w:tc>
          <w:tcPr>
            <w:tcW w:type="dxa" w:w="762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SEGUNDO GRUPO DE VISTAS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  Cuadro contable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05  Mayor</w:t>
            </w:r>
          </w:p>
        </w:tc>
      </w:tr>
      <w:tr>
        <w:tc>
          <w:tcPr>
            <w:tcW w:type="dxa" w:w="751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  Libro diario</w:t>
            </w:r>
          </w:p>
        </w:tc>
        <w:tc>
          <w:tcPr>
            <w:tcW w:type="dxa" w:w="762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06  Balances y resultados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  Detalle de asiento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07  Cierre contable</w:t>
            </w:r>
          </w:p>
        </w:tc>
      </w:tr>
      <w:tr>
        <w:tc>
          <w:tcPr>
            <w:tcW w:type="dxa" w:w="751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04  Plan contable</w:t>
            </w:r>
          </w:p>
        </w:tc>
        <w:tc>
          <w:tcPr>
            <w:tcW w:type="dxa" w:w="762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—</w:t>
            </w:r>
          </w:p>
        </w:tc>
      </w:tr>
    </w:tbl>
    <w:p>
      <w:pPr>
        <w:spacing w:after="20"/>
      </w:pPr>
    </w:p>
    <w:p>
      <w:pPr>
        <w:pStyle w:val="Heading2"/>
      </w:pPr>
      <w:r>
        <w:t>Supuesto de utilización</w:t>
      </w:r>
    </w:p>
    <w:p>
      <w:r>
        <w:t>La empresa recibe una factura de material y genera un asiento de compra con IGIC; luego registra su pago y comprueba el mayor del proveedor, la conciliación y el balance.</w:t>
      </w:r>
    </w:p>
    <w:p>
      <w:r>
        <w:t>Referencia visual: la página siguiente reproduce la maqueta 1920 × 1080 aprobada. Este dossier especifica pantallas futuras, reglas y funcionamiento; la imagen es conceptual, no un producto actualmente operativo.</w:t>
      </w:r>
    </w:p>
    <w:p>
      <w:pPr>
        <w:pStyle w:val="Heading2"/>
        <w:pageBreakBefore/>
      </w:pPr>
      <w:r>
        <w:t>Maqueta visual de referencia · vista general de la aplicación</w:t>
      </w:r>
    </w:p>
    <w:p>
      <w:r>
        <w:drawing>
          <wp:inline xmlns:a="http://schemas.openxmlformats.org/drawingml/2006/main" xmlns:pic="http://schemas.openxmlformats.org/drawingml/2006/picture">
            <wp:extent cx="9432000" cy="5305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-contabilida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432000" cy="5305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758A"/>
          <w:sz w:val="16"/>
        </w:rPr>
        <w:t>FIGURA 1. Maqueta aprobada · 1920 × 1080 · sistema visual RED FP360</w:t>
      </w:r>
    </w:p>
    <w:p>
      <w:r>
        <w:br w:type="page"/>
      </w:r>
    </w:p>
    <w:p>
      <w:pPr>
        <w:pStyle w:val="Heading1"/>
      </w:pPr>
      <w:r>
        <w:t>1.  Finalidad, alcance y contexto profesional</w:t>
      </w:r>
    </w:p>
    <w:p>
      <w:r>
        <w:t>Registrar y revisar operaciones económicas de acuerdo con el plan contable didáctico, elaborar libros y estados y mantener correspondencia con documentos de origen.</w:t>
      </w:r>
    </w:p>
    <w:p>
      <w:r>
        <w:t>Perfiles que intervienen: Contabilidad; dirección; tesorería; personal evaluador. El caso se desarrolla exclusivamente con empresas, cuentas, personas y documentos simulados de la red canaria. Los procesos se reproducen con el nivel de dificultad previsto en la programación didáctica.</w:t>
      </w:r>
    </w:p>
    <w:p>
      <w:pPr>
        <w:pStyle w:val="Heading2"/>
      </w:pPr>
      <w:r>
        <w:t>Resultados operativos de la aplicación</w:t>
      </w:r>
    </w:p>
    <w:p>
      <w:pPr>
        <w:pStyle w:val="ListBullet"/>
        <w:spacing w:after="80"/>
      </w:pPr>
      <w:r>
        <w:t>Una operación queda completamente documentada desde el origen hasta su estado de cierre, con autor, fecha simulada y evidencias.</w:t>
      </w:r>
    </w:p>
    <w:p>
      <w:pPr>
        <w:pStyle w:val="ListBullet"/>
        <w:spacing w:after="80"/>
      </w:pPr>
      <w:r>
        <w:t>Las tareas pueden repartirse entre alumnado de la misma empresa y entre institutos cuando el procedimiento lo requiera.</w:t>
      </w:r>
    </w:p>
    <w:p>
      <w:pPr>
        <w:pStyle w:val="ListBullet"/>
        <w:spacing w:after="80"/>
      </w:pPr>
      <w:r>
        <w:t>Todos los importes, validaciones y cambios de estado se calculan con reglas transaccionales verificables; la IA no sustituye esos controles.</w:t>
      </w:r>
    </w:p>
    <w:p>
      <w:pPr>
        <w:pStyle w:val="Heading1"/>
      </w:pPr>
      <w:r>
        <w:t>2.  Proceso administrativo completo, paso a paso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87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PASO</w:t>
            </w:r>
          </w:p>
        </w:tc>
        <w:tc>
          <w:tcPr>
            <w:tcW w:type="dxa" w:w="856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ACTUACIÓN ADMINISTRATIVA DEL ALUMNADO</w:t>
            </w:r>
          </w:p>
        </w:tc>
        <w:tc>
          <w:tcPr>
            <w:tcW w:type="dxa" w:w="56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/ SALIDA DEL SISTEMA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Definir ejercicio y plan de cuentas de la empresa.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Verificar permisos, empresa, periodo y disponibilidad de datos de inicio.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Importar documentos confirmados de compras, ventas y nóminas.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Proponer asientos automáticos como borrador para su revisión educativa.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04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Comprobar cuentas, bases e importes.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05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asiento con equilibrio Debe/Haber.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06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Consultar libro diario, mayor y balance de sumas y saldos.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07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Realizar periodificaciones y regularización previstas en el caso.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08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Cerrar periodo y preparar cuentas o informes.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09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Corregir mediante contrasiento o procedimiento autorizado.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Cerrar el expediente, registrar evidencias y actualizar indicadores.</w:t>
            </w:r>
          </w:p>
        </w:tc>
      </w:tr>
    </w:tbl>
    <w:p>
      <w:pPr>
        <w:spacing w:after="20"/>
      </w:pPr>
    </w:p>
    <w:p>
      <w:pPr>
        <w:pStyle w:val="Heading2"/>
      </w:pPr>
      <w:r>
        <w:t>Procedimiento de ejemplo integrable en FP360 SIM</w:t>
      </w:r>
    </w:p>
    <w:p>
      <w:r>
        <w:t>La empresa recibe una factura de material y genera un asiento de compra con IGIC; luego registra su pago y comprueba el mayor del proveedor, la conciliación y el balance.</w:t>
      </w:r>
    </w:p>
    <w:p>
      <w:pPr>
        <w:pStyle w:val="Heading1"/>
      </w:pPr>
      <w:r>
        <w:t>3.  Diseño visual y navegación de la aplicación</w:t>
      </w:r>
    </w:p>
    <w:p>
      <w:r>
        <w:t>Las pantallas utilizarán la misma identidad gráfica de la maqueta: barra superior blanca, navegación lateral clara, encabezados azul marino, acción primaria azul, acentos turquesa, tarjetas de métricas y estados con color y texto. No se utilizará una identidad distinta en cada pestaña.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26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ZONA</w:t>
            </w:r>
          </w:p>
        </w:tc>
        <w:tc>
          <w:tcPr>
            <w:tcW w:type="dxa" w:w="128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APARIENCIA Y COMPORTAMIENTO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Cabecera fija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Logotipo RED FP360 original a la izquierda; selector de empresa y centro; búsqueda contextual; notificaciones; usuario y rol. La cabecera no se desplaza con la tabla.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Menú lateral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Fondo claro y bordes suaves; iconos lineales; aplicación activa en azul #176FD7; grupos plegables y etiquetas en castellano.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de trabajo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Título claro, descripción de una línea, filtros y una acción primaria arriba a la derecha. Cards de indicadores con cifra, unidad y periodo explícitos.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central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Tabla ordenable o tablero con buscador; encabezado fijo; paginación; estado con distintivo de color y texto, no solo color.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Panel contextual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Detalle en tarjeta o panel lateral derecho con pestañas, línea temporal, documentos vinculados y acciones secundarias.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Accesibilidad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Contrastes de texto, foco visible, navegación por teclado, etiquetas de formulario, validación junto al campo y confirmaciones explícitas.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Móvil y tablet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menú se convierte en cajón; KPIs se apilan; tablas tienen scroll horizontal o tarjetas; paneles de detalle ocupan la pantalla sin deformar la imagen.</w:t>
            </w:r>
          </w:p>
        </w:tc>
      </w:tr>
    </w:tbl>
    <w:p>
      <w:pPr>
        <w:spacing w:after="20"/>
      </w:pPr>
    </w:p>
    <w:p>
      <w:pPr>
        <w:pStyle w:val="Heading1"/>
      </w:pPr>
      <w:r>
        <w:t>4.  Inventario detallado de pantallas y pestañas</w:t>
      </w:r>
    </w:p>
    <w:p>
      <w:r>
        <w:t>Cada bloque siguiente es una especificación de interfaz a implementar. Solo la pantalla principal dispone actualmente de una maqueta gráfica adjunta; las demás comparten su sistema visual y deberán diseñarse sin cambiar la navegación ni los componentes.</w:t>
      </w:r>
    </w:p>
    <w:p>
      <w:pPr>
        <w:pStyle w:val="Heading2"/>
      </w:pPr>
      <w:r>
        <w:t>Pantalla 01 — Cuadro contable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Saldo bancos, resultados, asientos pendientes y estado de cierre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Nuevo asiento, revisar pendientes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Datos derivados del diario confirmado.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cuatro tarjetas KPI arriba; gráfico o evolución en el centro; alertas y tareas en un panel inferior derecho; acceso por clic al detalle documentado.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02 — Libro diario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Asientos numerados con fecha, concepto, origen y Debe/Haber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Registrar, inspeccionar, filtrar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No confirmar asientos descuadrados.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03 — Detalle de asiento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Panel con líneas contables, cuenta, concepto y saldo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Guardar borrador, revisar, contabilizar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Equilibrio al céntimo y cuenta válida.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formulario principal a la izquierda y bloque de validación/histórico a la derecha; grupos de campos separados por encabezados; botones Guardar borrador, Validar, Confirmar y Cancelar.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04 — Plan contable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Árbol de grupos, subgrupos y cuentas configuradas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subcuenta, consultar ficha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Preservar estructura y naturaleza contable.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05 — Mayor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Movimientos por cuenta y acumulación de cargos y abonos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Seleccionar cuenta, navegar origen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Debe coincidir con el diario.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06 — Balances y resultados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Sumas y saldos, balance de situación y pérdidas y ganancias didácticas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informe, exportar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No cerrar si hay asientos obligatorios pendientes.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07 — Cierre contable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Checklist de conciliación, ajustes, regularización y apertura siguiente periodo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cierre y generar apertura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Cierre reversible solo con autorización docente.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1"/>
      </w:pPr>
      <w:r>
        <w:t>5.  Modelo de datos, formularios y validaciones</w:t>
      </w:r>
    </w:p>
    <w:p>
      <w:r>
        <w:t>Se propone un esquema relacional conceptual. Los identificadores deben ser estables, las fechas de simulación independientes del reloj del servidor y los registros compartidos entre empresas deben limitarse a la información autorizada.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62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CAMPO LÓGICO</w:t>
            </w:r>
          </w:p>
        </w:tc>
        <w:tc>
          <w:tcPr>
            <w:tcW w:type="dxa" w:w="510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FUNCIÓN</w:t>
            </w:r>
          </w:p>
        </w:tc>
        <w:tc>
          <w:tcPr>
            <w:tcW w:type="dxa" w:w="64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DE DATOS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Ejercicio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ejercicio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Periodo contable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periodo_contable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Asiento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asiento_id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Fecha asiento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fecha_asiento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Cuenta codigo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cuenta_codigo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Cuenta descripcion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cuenta_descripcion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Debe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debe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Haber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haber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Documento origen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documento_origen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Tercero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tercero_id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Estado asiento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estado_asiento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Motivo rectificacion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motivo_rectificacion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Usuario validador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usuario_validador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</w:tbl>
    <w:p>
      <w:pPr>
        <w:spacing w:after="20"/>
      </w:pPr>
    </w:p>
    <w:p>
      <w:pPr>
        <w:pStyle w:val="Heading2"/>
      </w:pPr>
      <w:r>
        <w:t>Reglas esenciales de negocio</w:t>
      </w:r>
    </w:p>
    <w:p>
      <w:r>
        <w:rPr>
          <w:b/>
          <w:color w:val="176FD7"/>
        </w:rPr>
        <w:t xml:space="preserve">RN-01. </w:t>
      </w:r>
      <w:r>
        <w:t>Igualdad Debe=Haber.</w:t>
      </w:r>
    </w:p>
    <w:p>
      <w:r>
        <w:rPr>
          <w:b/>
          <w:color w:val="176FD7"/>
        </w:rPr>
        <w:t xml:space="preserve">RN-02. </w:t>
      </w:r>
      <w:r>
        <w:t>Números de asiento consecutivos por ejercicio.</w:t>
      </w:r>
    </w:p>
    <w:p>
      <w:r>
        <w:rPr>
          <w:b/>
          <w:color w:val="176FD7"/>
        </w:rPr>
        <w:t xml:space="preserve">RN-03. </w:t>
      </w:r>
      <w:r>
        <w:t>Documentos confirmados no crean asientos duplicados.</w:t>
      </w:r>
    </w:p>
    <w:p>
      <w:r>
        <w:rPr>
          <w:b/>
          <w:color w:val="176FD7"/>
        </w:rPr>
        <w:t xml:space="preserve">RN-04. </w:t>
      </w:r>
      <w:r>
        <w:t>IGIC soportado y repercutido se registran según plan simulado.</w:t>
      </w:r>
    </w:p>
    <w:p>
      <w:r>
        <w:rPr>
          <w:b/>
          <w:color w:val="176FD7"/>
        </w:rPr>
        <w:t xml:space="preserve">RN-05. </w:t>
      </w:r>
      <w:r>
        <w:t>Ninguna acción permite alterar un asiento confirmado sin traza.</w:t>
      </w:r>
    </w:p>
    <w:p>
      <w:r>
        <w:rPr>
          <w:b/>
          <w:color w:val="176FD7"/>
        </w:rPr>
        <w:t xml:space="preserve">RN-06. </w:t>
      </w:r>
      <w:r>
        <w:t>Anotaciones pedagógicas no constituyen contabilidad real.</w:t>
      </w:r>
    </w:p>
    <w:p>
      <w:pPr>
        <w:pStyle w:val="Heading2"/>
      </w:pPr>
      <w:r>
        <w:t>Estados y transición documental</w:t>
      </w:r>
    </w:p>
    <w:p>
      <w:r>
        <w:t>Patrón común: BORRADOR → PENDIENTE DE REVISIÓN → VALIDADO/CONFIRMADO → EJECUTADO/FINALIZADO. Cuando exista incidencia se habilita OBSERVADO/RECHAZADO; cuando proceda, ANULADO o RECTIFICADO mediante registro nuevo. Las transiciones definitivas no se deshacen mediante edición silenciosa.</w:t>
      </w:r>
    </w:p>
    <w:p>
      <w:pPr>
        <w:pStyle w:val="Heading1"/>
      </w:pPr>
      <w:r>
        <w:t>6.  Integración interaplicaciones y eventos</w:t>
      </w:r>
    </w:p>
    <w:p>
      <w:r>
        <w:t>Se relaciona funcionalmente con: Ventas (3); Compras (4); Nóminas (11); Tesorería (9); Banco (16); Hacienda (17); Evaluación (23).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MOMENTO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TRATAMIENTO TÉCNICO PROPUESTO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Alta o propuesta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Guardar borrador con identificador de empresa y campaña, autor, versión, estado y origen.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Confirmación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en backend; realizar transacción atómica; devolver código único de confirmación.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Comunicación a otra app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Emitir evento de dominio con ID de operación; cola o bandeja de entrada idempotente.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Recepción desde otra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permiso entre empresas, evitar duplicados y preservar el documento recibido.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Rectificación o anulación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evento compensatorio con vínculo al original y conservar historial completo.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Evaluación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evidencia automática con actor individual, criterio curricular configurado y documento resultante.</w:t>
            </w:r>
          </w:p>
        </w:tc>
      </w:tr>
    </w:tbl>
    <w:p>
      <w:pPr>
        <w:spacing w:after="20"/>
      </w:pPr>
    </w:p>
    <w:p>
      <w:pPr>
        <w:pStyle w:val="Heading1"/>
      </w:pPr>
      <w:r>
        <w:t>7.  Intervención de la IA y de FP360 SIM</w:t>
      </w:r>
    </w:p>
    <w:p>
      <w:r>
        <w:t>La IA local o el servicio de IA configurado puede redactar encargos, explicaciones progresivas, comunicaciones de ejemplo, preguntas de reflexión y alternativas de actuación. Antes de publicar un caso, FP360 SIM consulta el estado real de la simulación y somete el suceso a validaciones deterministas. Una respuesta de IA jamás crea por sí misma un asiento, cobro, saldo, alta laboral o cambio de existencias.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17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FASE</w:t>
            </w:r>
          </w:p>
        </w:tc>
        <w:tc>
          <w:tcPr>
            <w:tcW w:type="dxa" w:w="1196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FUNCIONAMIENTO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Diseño del caso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promotor o docente define competencias, nivel, duración y empresas implicadas; la IA propone el guion.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Precondiciones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motor comprueba recursos, stock, caja, documentos previos, ventanas lectivas y roles autorizados.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Instrucciones al alumnado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 publica una tarea con contexto, objetivo, pasos orientativos y aplicaciones a utilizar; las ayudas se gradúan.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Ejecución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realiza las operaciones reales dentro del ERP educativo; se registra intervención individual.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Corrección y continuidad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reglas verifican resultados objetivos; FP360 SIM genera consecuencias y próximas actividades posibles.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Control docente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profesorado revisa excepciones, decisiones abiertas y calificaciones; puede pausar o reprogramar.</w:t>
            </w:r>
          </w:p>
        </w:tc>
      </w:tr>
    </w:tbl>
    <w:p>
      <w:pPr>
        <w:spacing w:after="20"/>
      </w:pPr>
    </w:p>
    <w:p>
      <w:pPr>
        <w:pStyle w:val="Heading1"/>
      </w:pPr>
      <w:r>
        <w:t>8.  Instrumentos de evaluación y evidencias</w:t>
      </w:r>
    </w:p>
    <w:p>
      <w:r>
        <w:t>La vinculación de actividades a resultados de aprendizaje y criterios de evaluación se realizará al cargar la programación del módulo de FP correspondiente. No se presuponen códigos curriculares idénticos para todos los ciclos y centros.</w:t>
      </w:r>
    </w:p>
    <w:p>
      <w:r>
        <w:rPr>
          <w:b/>
          <w:color w:val="176FD7"/>
        </w:rPr>
        <w:t xml:space="preserve">EVID-01. </w:t>
      </w:r>
      <w:r>
        <w:t>Identificar cuentas y naturaleza de saldo.</w:t>
      </w:r>
    </w:p>
    <w:p>
      <w:r>
        <w:rPr>
          <w:b/>
          <w:color w:val="176FD7"/>
        </w:rPr>
        <w:t xml:space="preserve">EVID-02. </w:t>
      </w:r>
      <w:r>
        <w:t>Registrar asientos equilibrados.</w:t>
      </w:r>
    </w:p>
    <w:p>
      <w:r>
        <w:rPr>
          <w:b/>
          <w:color w:val="176FD7"/>
        </w:rPr>
        <w:t xml:space="preserve">EVID-03. </w:t>
      </w:r>
      <w:r>
        <w:t>Vincular hecho y documento.</w:t>
      </w:r>
    </w:p>
    <w:p>
      <w:r>
        <w:rPr>
          <w:b/>
          <w:color w:val="176FD7"/>
        </w:rPr>
        <w:t xml:space="preserve">EVID-04. </w:t>
      </w:r>
      <w:r>
        <w:t>Elaborar e interpretar balances.</w:t>
      </w:r>
    </w:p>
    <w:p>
      <w:r>
        <w:t>Evidencias mínimas recomendadas: documento origen y documento final cuando existan, histórico de cambios, validaciones fallidas, resolución adoptada, autor individual, fecha simulada y breve justificación de la decisión. Exportación configurable en PDF/CSV y, cuando esté implantada, mediante integración con Moodle.</w:t>
      </w:r>
    </w:p>
    <w:p>
      <w:pPr>
        <w:pStyle w:val="Heading1"/>
      </w:pPr>
      <w:r>
        <w:t>9.  Permisos, trazabilidad, errores y recuperación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PERMISOS ESTÁNDAR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Alumnado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y tramitar operaciones de su empresa y departamento; consultar solo expedientes habilitados; no alterar estados cerrados.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Responsable de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Autorizar operaciones según delegación didáctica; ver informes de empresa sin acceder a datos de otros centros.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Docente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Configurar tareas de su centro, revisar evidencias, intervenir en bloqueos, gestionar evaluación y recuperar actividades.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Coordinación/promotor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Planificar campañas y ver indicadores intercentros; acceso a datos individualizados solo cuando exista permiso específico.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Administrador técnico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Operar infraestructura, cuentas y auditoría; acceso a contenido sujeto al principio de mínima necesidad.</w:t>
            </w:r>
          </w:p>
        </w:tc>
      </w:tr>
    </w:tbl>
    <w:p>
      <w:pPr>
        <w:spacing w:after="20"/>
      </w:pPr>
    </w:p>
    <w:p>
      <w:pPr>
        <w:pStyle w:val="Heading2"/>
      </w:pPr>
      <w:r>
        <w:t>Situaciones de excepción que la interfaz debe contemplar</w:t>
      </w:r>
    </w:p>
    <w:p>
      <w:r>
        <w:rPr>
          <w:b/>
          <w:color w:val="176FD7"/>
        </w:rPr>
        <w:t xml:space="preserve">• </w:t>
      </w:r>
      <w:r>
        <w:t>Asiento descuadrado.</w:t>
      </w:r>
    </w:p>
    <w:p>
      <w:r>
        <w:rPr>
          <w:b/>
          <w:color w:val="176FD7"/>
        </w:rPr>
        <w:t xml:space="preserve">• </w:t>
      </w:r>
      <w:r>
        <w:t>Periodo cerrado.</w:t>
      </w:r>
    </w:p>
    <w:p>
      <w:r>
        <w:rPr>
          <w:b/>
          <w:color w:val="176FD7"/>
        </w:rPr>
        <w:t xml:space="preserve">• </w:t>
      </w:r>
      <w:r>
        <w:t>Doble asiento de factura.</w:t>
      </w:r>
    </w:p>
    <w:p>
      <w:r>
        <w:rPr>
          <w:b/>
          <w:color w:val="176FD7"/>
        </w:rPr>
        <w:t xml:space="preserve">• </w:t>
      </w:r>
      <w:r>
        <w:t>Cuenta inexistente.</w:t>
      </w:r>
    </w:p>
    <w:p>
      <w:r>
        <w:rPr>
          <w:b/>
          <w:color w:val="176FD7"/>
        </w:rPr>
        <w:t xml:space="preserve">• </w:t>
      </w:r>
      <w:r>
        <w:t>Rectificación posterior.</w:t>
      </w:r>
    </w:p>
    <w:p>
      <w:r>
        <w:t>Ante un error se conservará el borrador, se explicará la causa en castellano claro y se ofrecerá una acción recuperable. No mostrar mensajes técnicos internos ni considerar completada una operación hasta que el servidor confirme su registro.</w:t>
      </w:r>
    </w:p>
    <w:p>
      <w:pPr>
        <w:pStyle w:val="Heading1"/>
      </w:pPr>
      <w:r>
        <w:t>10.  Criterios de aceptación y pruebas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130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TEST</w:t>
            </w:r>
          </w:p>
        </w:tc>
        <w:tc>
          <w:tcPr>
            <w:tcW w:type="dxa" w:w="13833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RESULTADO ESPERADO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AC-01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vista principal coincide en estructura, tipografía, colores y jerarquía con la imagen de referencia.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AC-02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Todas las pestañas descritas existen, muestran estado vacío legible y admiten navegación por teclado.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AC-03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formulario principal valida campos, relaciones, importes, fechas y permisos en el servidor.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AC-04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confirmación genera un ID estable y ningún doble clic duplica la operación.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AC-05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y efectos derivados aparecen coherentemente en las aplicaciones conectadas.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AC-06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de una empresa no puede ver documentos privados de otra empresa o centro.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AC-07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docente dispone de evidencia individual y puede revisar un bloqueo sin borrar historial.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AC-08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interfaz comunica los errores de forma clara; permite reintento seguro y mantiene el borrador.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AC-09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pruebas de móvil, tablet y escritorio no deforman tablas, imágenes ni botones.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AC-10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fiscales, laborales y bancarios del caso llevan avisos de simulación cuando corresponde.</w:t>
            </w:r>
          </w:p>
        </w:tc>
      </w:tr>
    </w:tbl>
    <w:p>
      <w:pPr>
        <w:spacing w:after="20"/>
      </w:pPr>
    </w:p>
    <w:p>
      <w:pPr>
        <w:pStyle w:val="Heading1"/>
      </w:pPr>
      <w:r>
        <w:t>11.  Definición de entrega y lista de desarrollo</w:t>
      </w:r>
    </w:p>
    <w:p>
      <w:pPr>
        <w:pStyle w:val="ListBullet"/>
        <w:spacing w:after="80"/>
      </w:pPr>
      <w:r>
        <w:t>Rutas, filtros, pestañas, paneles y formularios implementados según este dossier.</w:t>
      </w:r>
    </w:p>
    <w:p>
      <w:pPr>
        <w:pStyle w:val="ListBullet"/>
        <w:spacing w:after="80"/>
      </w:pPr>
      <w:r>
        <w:t>Modelos de datos y API documentados; reglas de negocio cubiertas con pruebas automáticas.</w:t>
      </w:r>
    </w:p>
    <w:p>
      <w:pPr>
        <w:pStyle w:val="ListBullet"/>
        <w:spacing w:after="80"/>
      </w:pPr>
      <w:r>
        <w:t>Integraciones y eventos comprobados con al menos dos empresas de distintos centros canarios.</w:t>
      </w:r>
    </w:p>
    <w:p>
      <w:pPr>
        <w:pStyle w:val="ListBullet"/>
        <w:spacing w:after="80"/>
      </w:pPr>
      <w:r>
        <w:t>Verificación de permisos, roles, auditoría y recuperación de incidencias.</w:t>
      </w:r>
    </w:p>
    <w:p>
      <w:pPr>
        <w:pStyle w:val="ListBullet"/>
        <w:spacing w:after="80"/>
      </w:pPr>
      <w:r>
        <w:t>Prueba de accesibilidad y de visualización 1920×1080, portátil y móvil.</w:t>
      </w:r>
    </w:p>
    <w:p>
      <w:pPr>
        <w:pStyle w:val="ListBullet"/>
        <w:spacing w:after="80"/>
      </w:pPr>
      <w:r>
        <w:t>Caso completo ejecutado por alumnado de prueba y evidencias visibles al docente.</w:t>
      </w:r>
    </w:p>
    <w:p>
      <w:pPr>
        <w:pStyle w:val="ListBullet"/>
        <w:spacing w:after="80"/>
      </w:pPr>
      <w:r>
        <w:t>Guía funcional de usuario, ayudas contextuales y manual de instalación/operación actualizados.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794" w:right="822" w:bottom="709" w:left="822" w:header="312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0758A"/>
        <w:sz w:val="16"/>
      </w:rPr>
      <w:t xml:space="preserve">DOCUMENTO DE DISEÑO · NO ES UNA APLICACIÓN OPERATIVA     •     </w:t>
    </w:r>
    <w:r>
      <w:rPr>
        <w:color w:val="176FD7"/>
        <w:sz w:val="16"/>
      </w:rPr>
      <w:t xml:space="preserve">PÁG.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60758A"/>
        <w:sz w:val="16"/>
      </w:rPr>
      <w:t>RED FP360  /  DISEÑO FUNCIONAL DE APLICACIONES  /  2027–2028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70" w:line="262" w:lineRule="auto"/>
    </w:pPr>
    <w:rPr>
      <w:rFonts w:ascii="Liberation Sans" w:hAnsi="Liberation Sans"/>
      <w:color w:val="112C5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112C5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6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160"/>
      <w:contextualSpacing/>
    </w:pPr>
    <w:rPr>
      <w:rFonts w:asciiTheme="majorHAnsi" w:eastAsiaTheme="majorEastAsia" w:hAnsiTheme="majorHAnsi" w:cstheme="majorBidi" w:ascii="Liberation Sans" w:hAnsi="Liberation Sans"/>
      <w:b/>
      <w:color w:val="112C5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 FP360 — Contabilidad — Especificación funcional y de interfaz</dc:title>
  <dc:subject>Proyecto RED FP360, Formación Profesional, Canarias, 2027-2028</dc:subject>
  <dc:creator>Equipo promotor RED FP360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