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3240000" cy="87517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limpi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8751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GUÍA MAESTRA DE DISEÑO Y ARQUITECTURA</w:t>
      </w:r>
    </w:p>
    <w:p>
      <w:r>
        <w:t>RED FP360 · Especificación transversal de sus 26 aplicaciones · Curso 2027-2028</w:t>
      </w:r>
    </w:p>
    <w:p>
      <w:r>
        <w:t>Esta guía acompaña los 26 dossieres técnicos y establece la identidad visual, los componentes reutilizables, la seguridad multiempresa y las reglas de integración. Todos los formularios representan actividades empresariales ficticias y no deben confundirse con trámites reales.</w:t>
      </w:r>
    </w:p>
    <w:p>
      <w:pPr>
        <w:pStyle w:val="Heading1"/>
      </w:pPr>
      <w:r>
        <w:t>1.  Sistema visual vinculante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11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ELEMENTO</w:t>
            </w:r>
          </w:p>
        </w:tc>
        <w:tc>
          <w:tcPr>
            <w:tcW w:type="dxa" w:w="1201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CRITERIO</w:t>
            </w:r>
          </w:p>
        </w:tc>
      </w:tr>
      <w:tr>
        <w:tc>
          <w:tcPr>
            <w:tcW w:type="dxa" w:w="311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Marca</w:t>
            </w:r>
          </w:p>
        </w:tc>
        <w:tc>
          <w:tcPr>
            <w:tcW w:type="dxa" w:w="1201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Utilizar el logo azul/turquesa RED FP360 extraído de las primeras maquetas; prohibido sustituirlo por el logotipo FP360 de otra identidad.</w:t>
            </w:r>
          </w:p>
        </w:tc>
      </w:tr>
      <w:tr>
        <w:tc>
          <w:tcPr>
            <w:tcW w:type="dxa" w:w="311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Paleta</w:t>
            </w:r>
          </w:p>
        </w:tc>
        <w:tc>
          <w:tcPr>
            <w:tcW w:type="dxa" w:w="1201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Azul primario #176FD7, azul marino #112C50, turquesa #08B7C2, verde positivo #169A6A, superficies #F4F8FC.</w:t>
            </w:r>
          </w:p>
        </w:tc>
      </w:tr>
      <w:tr>
        <w:tc>
          <w:tcPr>
            <w:tcW w:type="dxa" w:w="311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Tipografía</w:t>
            </w:r>
          </w:p>
        </w:tc>
        <w:tc>
          <w:tcPr>
            <w:tcW w:type="dxa" w:w="1201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Sans-serif moderna: Aptos/Inter o equivalente. Títulos 24–30 px, secciones 18–22 px, cuerpo 14–16 px, etiquetas 12–13 px.</w:t>
            </w:r>
          </w:p>
        </w:tc>
      </w:tr>
      <w:tr>
        <w:tc>
          <w:tcPr>
            <w:tcW w:type="dxa" w:w="311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Diseño base</w:t>
            </w:r>
          </w:p>
        </w:tc>
        <w:tc>
          <w:tcPr>
            <w:tcW w:type="dxa" w:w="1201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Barra lateral blanca de 220–250 px con módulo activo azul, barra superior fija blanca, centro con tarjetas KPI, tablas y panel lateral.</w:t>
            </w:r>
          </w:p>
        </w:tc>
      </w:tr>
      <w:tr>
        <w:tc>
          <w:tcPr>
            <w:tcW w:type="dxa" w:w="311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Estados</w:t>
            </w:r>
          </w:p>
        </w:tc>
        <w:tc>
          <w:tcPr>
            <w:tcW w:type="dxa" w:w="1201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Verde: completado; ámbar: pendiente; rojo: incidencia; azul: informativo; incluir siempre texto e icono.</w:t>
            </w:r>
          </w:p>
        </w:tc>
      </w:tr>
      <w:tr>
        <w:tc>
          <w:tcPr>
            <w:tcW w:type="dxa" w:w="311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Tarjetas y formularios</w:t>
            </w:r>
          </w:p>
        </w:tc>
        <w:tc>
          <w:tcPr>
            <w:tcW w:type="dxa" w:w="1201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Bordes #DCE6F0, radio 10–14 px, sombras muy suaves, espacios 8/16/24 px; campos con validación accesible.</w:t>
            </w:r>
          </w:p>
        </w:tc>
      </w:tr>
      <w:tr>
        <w:tc>
          <w:tcPr>
            <w:tcW w:type="dxa" w:w="311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Formato</w:t>
            </w:r>
          </w:p>
        </w:tc>
        <w:tc>
          <w:tcPr>
            <w:tcW w:type="dxa" w:w="1201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Diseño de referencia 1920×1080 (16:9); el documento no autoriza estirar/cortar capturas al mostrarlas.</w:t>
            </w:r>
          </w:p>
        </w:tc>
      </w:tr>
    </w:tbl>
    <w:p>
      <w:pPr>
        <w:spacing w:after="20"/>
      </w:pPr>
    </w:p>
    <w:p>
      <w:pPr>
        <w:pStyle w:val="Heading1"/>
      </w:pPr>
      <w:r>
        <w:t>2.  Arquitectura de aplicaciones</w:t>
      </w:r>
    </w:p>
    <w:p>
      <w:r>
        <w:t>Una aplicación web multiempresa y multicliente (multi-tenant) con PostgreSQL, backend de reglas, motor de eventos y servicios especializados. Separar infraestructura de ERP de inferencia de IA. Los estados contables, bancarios y fiscales se actualizan exclusivamente mediante lógica determinista y transacciones atómicas.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11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DOMINIO</w:t>
            </w:r>
          </w:p>
        </w:tc>
        <w:tc>
          <w:tcPr>
            <w:tcW w:type="dxa" w:w="1201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APLICACIONES</w:t>
            </w:r>
          </w:p>
        </w:tc>
      </w:tr>
      <w:tr>
        <w:tc>
          <w:tcPr>
            <w:tcW w:type="dxa" w:w="311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ERP empresarial</w:t>
            </w:r>
          </w:p>
        </w:tc>
        <w:tc>
          <w:tcPr>
            <w:tcW w:type="dxa" w:w="1201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1–14: gestión de empresa, ventas, compras, productos, almacén, logística, contabilidad, tesorería, personal, documentación y servicios.</w:t>
            </w:r>
          </w:p>
        </w:tc>
      </w:tr>
      <w:tr>
        <w:tc>
          <w:tcPr>
            <w:tcW w:type="dxa" w:w="311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Servicios comunes</w:t>
            </w:r>
          </w:p>
        </w:tc>
        <w:tc>
          <w:tcPr>
            <w:tcW w:type="dxa" w:w="1201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15–20: mercado B2B, banco, Hacienda, Seguridad Social, empleo y comunicaciones.</w:t>
            </w:r>
          </w:p>
        </w:tc>
      </w:tr>
      <w:tr>
        <w:tc>
          <w:tcPr>
            <w:tcW w:type="dxa" w:w="311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Entorno educativo</w:t>
            </w:r>
          </w:p>
        </w:tc>
        <w:tc>
          <w:tcPr>
            <w:tcW w:type="dxa" w:w="1201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21–24: FP360 SIM, portafolio, evaluación y mentoría.</w:t>
            </w:r>
          </w:p>
        </w:tc>
      </w:tr>
      <w:tr>
        <w:tc>
          <w:tcPr>
            <w:tcW w:type="dxa" w:w="311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Coordinación</w:t>
            </w:r>
          </w:p>
        </w:tc>
        <w:tc>
          <w:tcPr>
            <w:tcW w:type="dxa" w:w="1201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25–26: coordinación intercentros y administración del sistema.</w:t>
            </w:r>
          </w:p>
        </w:tc>
      </w:tr>
    </w:tbl>
    <w:p>
      <w:pPr>
        <w:spacing w:after="20"/>
      </w:pPr>
    </w:p>
    <w:p>
      <w:pPr>
        <w:pStyle w:val="Heading1"/>
      </w:pPr>
      <w:r>
        <w:t>3.  Matriz del catálogo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798"/>
        <w:gridCol w:w="3798"/>
        <w:gridCol w:w="3798"/>
        <w:gridCol w:w="3798"/>
      </w:tblGrid>
      <w:tr>
        <w:tc>
          <w:tcPr>
            <w:tcW w:type="dxa" w:w="907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N.º</w:t>
            </w:r>
          </w:p>
        </w:tc>
        <w:tc>
          <w:tcPr>
            <w:tcW w:type="dxa" w:w="6973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APLICACIÓN</w:t>
            </w:r>
          </w:p>
        </w:tc>
        <w:tc>
          <w:tcPr>
            <w:tcW w:type="dxa" w:w="408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ÁREA</w:t>
            </w:r>
          </w:p>
        </w:tc>
        <w:tc>
          <w:tcPr>
            <w:tcW w:type="dxa" w:w="317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PANTALLAS DEFINIDAS</w:t>
            </w:r>
          </w:p>
        </w:tc>
      </w:tr>
      <w:tr>
        <w:tc>
          <w:tcPr>
            <w:tcW w:type="dxa" w:w="907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01</w:t>
            </w:r>
          </w:p>
        </w:tc>
        <w:tc>
          <w:tcPr>
            <w:tcW w:type="dxa" w:w="697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Dirección y cuadro de mando</w:t>
            </w:r>
          </w:p>
        </w:tc>
        <w:tc>
          <w:tcPr>
            <w:tcW w:type="dxa" w:w="408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ERP empresarial</w:t>
            </w:r>
          </w:p>
        </w:tc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6 vistas</w:t>
            </w:r>
          </w:p>
        </w:tc>
      </w:tr>
      <w:tr>
        <w:tc>
          <w:tcPr>
            <w:tcW w:type="dxa" w:w="907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02</w:t>
            </w:r>
          </w:p>
        </w:tc>
        <w:tc>
          <w:tcPr>
            <w:tcW w:type="dxa" w:w="697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CRM y contactos</w:t>
            </w:r>
          </w:p>
        </w:tc>
        <w:tc>
          <w:tcPr>
            <w:tcW w:type="dxa" w:w="408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ERP empresarial</w:t>
            </w:r>
          </w:p>
        </w:tc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6 vistas</w:t>
            </w:r>
          </w:p>
        </w:tc>
      </w:tr>
      <w:tr>
        <w:tc>
          <w:tcPr>
            <w:tcW w:type="dxa" w:w="907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03</w:t>
            </w:r>
          </w:p>
        </w:tc>
        <w:tc>
          <w:tcPr>
            <w:tcW w:type="dxa" w:w="697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Ventas y facturación</w:t>
            </w:r>
          </w:p>
        </w:tc>
        <w:tc>
          <w:tcPr>
            <w:tcW w:type="dxa" w:w="408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ERP empresarial</w:t>
            </w:r>
          </w:p>
        </w:tc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7 vistas</w:t>
            </w:r>
          </w:p>
        </w:tc>
      </w:tr>
      <w:tr>
        <w:tc>
          <w:tcPr>
            <w:tcW w:type="dxa" w:w="907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04</w:t>
            </w:r>
          </w:p>
        </w:tc>
        <w:tc>
          <w:tcPr>
            <w:tcW w:type="dxa" w:w="697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Compras y aprovisionamiento</w:t>
            </w:r>
          </w:p>
        </w:tc>
        <w:tc>
          <w:tcPr>
            <w:tcW w:type="dxa" w:w="408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ERP empresarial</w:t>
            </w:r>
          </w:p>
        </w:tc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6 vistas</w:t>
            </w:r>
          </w:p>
        </w:tc>
      </w:tr>
      <w:tr>
        <w:tc>
          <w:tcPr>
            <w:tcW w:type="dxa" w:w="907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05</w:t>
            </w:r>
          </w:p>
        </w:tc>
        <w:tc>
          <w:tcPr>
            <w:tcW w:type="dxa" w:w="697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Productos y servicios</w:t>
            </w:r>
          </w:p>
        </w:tc>
        <w:tc>
          <w:tcPr>
            <w:tcW w:type="dxa" w:w="408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ERP empresarial</w:t>
            </w:r>
          </w:p>
        </w:tc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6 vistas</w:t>
            </w:r>
          </w:p>
        </w:tc>
      </w:tr>
      <w:tr>
        <w:tc>
          <w:tcPr>
            <w:tcW w:type="dxa" w:w="907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06</w:t>
            </w:r>
          </w:p>
        </w:tc>
        <w:tc>
          <w:tcPr>
            <w:tcW w:type="dxa" w:w="697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Almacén e inventario</w:t>
            </w:r>
          </w:p>
        </w:tc>
        <w:tc>
          <w:tcPr>
            <w:tcW w:type="dxa" w:w="408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ERP empresarial</w:t>
            </w:r>
          </w:p>
        </w:tc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7 vistas</w:t>
            </w:r>
          </w:p>
        </w:tc>
      </w:tr>
      <w:tr>
        <w:tc>
          <w:tcPr>
            <w:tcW w:type="dxa" w:w="907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07</w:t>
            </w:r>
          </w:p>
        </w:tc>
        <w:tc>
          <w:tcPr>
            <w:tcW w:type="dxa" w:w="697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Logística y distribución</w:t>
            </w:r>
          </w:p>
        </w:tc>
        <w:tc>
          <w:tcPr>
            <w:tcW w:type="dxa" w:w="408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ERP empresarial</w:t>
            </w:r>
          </w:p>
        </w:tc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6 vistas</w:t>
            </w:r>
          </w:p>
        </w:tc>
      </w:tr>
      <w:tr>
        <w:tc>
          <w:tcPr>
            <w:tcW w:type="dxa" w:w="907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08</w:t>
            </w:r>
          </w:p>
        </w:tc>
        <w:tc>
          <w:tcPr>
            <w:tcW w:type="dxa" w:w="697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Contabilidad</w:t>
            </w:r>
          </w:p>
        </w:tc>
        <w:tc>
          <w:tcPr>
            <w:tcW w:type="dxa" w:w="408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ERP empresarial</w:t>
            </w:r>
          </w:p>
        </w:tc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7 vistas</w:t>
            </w:r>
          </w:p>
        </w:tc>
      </w:tr>
      <w:tr>
        <w:tc>
          <w:tcPr>
            <w:tcW w:type="dxa" w:w="907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09</w:t>
            </w:r>
          </w:p>
        </w:tc>
        <w:tc>
          <w:tcPr>
            <w:tcW w:type="dxa" w:w="697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Tesorería</w:t>
            </w:r>
          </w:p>
        </w:tc>
        <w:tc>
          <w:tcPr>
            <w:tcW w:type="dxa" w:w="408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ERP empresarial</w:t>
            </w:r>
          </w:p>
        </w:tc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7 vistas</w:t>
            </w:r>
          </w:p>
        </w:tc>
      </w:tr>
      <w:tr>
        <w:tc>
          <w:tcPr>
            <w:tcW w:type="dxa" w:w="907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10</w:t>
            </w:r>
          </w:p>
        </w:tc>
        <w:tc>
          <w:tcPr>
            <w:tcW w:type="dxa" w:w="697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Recursos humanos</w:t>
            </w:r>
          </w:p>
        </w:tc>
        <w:tc>
          <w:tcPr>
            <w:tcW w:type="dxa" w:w="408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ERP empresarial</w:t>
            </w:r>
          </w:p>
        </w:tc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7 vistas</w:t>
            </w:r>
          </w:p>
        </w:tc>
      </w:tr>
      <w:tr>
        <w:tc>
          <w:tcPr>
            <w:tcW w:type="dxa" w:w="907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11</w:t>
            </w:r>
          </w:p>
        </w:tc>
        <w:tc>
          <w:tcPr>
            <w:tcW w:type="dxa" w:w="697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Nóminas</w:t>
            </w:r>
          </w:p>
        </w:tc>
        <w:tc>
          <w:tcPr>
            <w:tcW w:type="dxa" w:w="408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ERP empresarial</w:t>
            </w:r>
          </w:p>
        </w:tc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7 vistas</w:t>
            </w:r>
          </w:p>
        </w:tc>
      </w:tr>
      <w:tr>
        <w:tc>
          <w:tcPr>
            <w:tcW w:type="dxa" w:w="907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12</w:t>
            </w:r>
          </w:p>
        </w:tc>
        <w:tc>
          <w:tcPr>
            <w:tcW w:type="dxa" w:w="697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Atención al cliente</w:t>
            </w:r>
          </w:p>
        </w:tc>
        <w:tc>
          <w:tcPr>
            <w:tcW w:type="dxa" w:w="408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ERP empresarial</w:t>
            </w:r>
          </w:p>
        </w:tc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6 vistas</w:t>
            </w:r>
          </w:p>
        </w:tc>
      </w:tr>
      <w:tr>
        <w:tc>
          <w:tcPr>
            <w:tcW w:type="dxa" w:w="907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13</w:t>
            </w:r>
          </w:p>
        </w:tc>
        <w:tc>
          <w:tcPr>
            <w:tcW w:type="dxa" w:w="697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Proyectos y servicios</w:t>
            </w:r>
          </w:p>
        </w:tc>
        <w:tc>
          <w:tcPr>
            <w:tcW w:type="dxa" w:w="408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ERP empresarial</w:t>
            </w:r>
          </w:p>
        </w:tc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7 vistas</w:t>
            </w:r>
          </w:p>
        </w:tc>
      </w:tr>
      <w:tr>
        <w:tc>
          <w:tcPr>
            <w:tcW w:type="dxa" w:w="907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14</w:t>
            </w:r>
          </w:p>
        </w:tc>
        <w:tc>
          <w:tcPr>
            <w:tcW w:type="dxa" w:w="697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Gestión documental</w:t>
            </w:r>
          </w:p>
        </w:tc>
        <w:tc>
          <w:tcPr>
            <w:tcW w:type="dxa" w:w="408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ERP empresarial</w:t>
            </w:r>
          </w:p>
        </w:tc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6 vistas</w:t>
            </w:r>
          </w:p>
        </w:tc>
      </w:tr>
      <w:tr>
        <w:tc>
          <w:tcPr>
            <w:tcW w:type="dxa" w:w="907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15</w:t>
            </w:r>
          </w:p>
        </w:tc>
        <w:tc>
          <w:tcPr>
            <w:tcW w:type="dxa" w:w="697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Mercado FP360</w:t>
            </w:r>
          </w:p>
        </w:tc>
        <w:tc>
          <w:tcPr>
            <w:tcW w:type="dxa" w:w="408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Servicios comunes</w:t>
            </w:r>
          </w:p>
        </w:tc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7 vistas</w:t>
            </w:r>
          </w:p>
        </w:tc>
      </w:tr>
      <w:tr>
        <w:tc>
          <w:tcPr>
            <w:tcW w:type="dxa" w:w="907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16</w:t>
            </w:r>
          </w:p>
        </w:tc>
        <w:tc>
          <w:tcPr>
            <w:tcW w:type="dxa" w:w="697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Banco FP360</w:t>
            </w:r>
          </w:p>
        </w:tc>
        <w:tc>
          <w:tcPr>
            <w:tcW w:type="dxa" w:w="408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Servicios comunes</w:t>
            </w:r>
          </w:p>
        </w:tc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7 vistas</w:t>
            </w:r>
          </w:p>
        </w:tc>
      </w:tr>
      <w:tr>
        <w:tc>
          <w:tcPr>
            <w:tcW w:type="dxa" w:w="907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17</w:t>
            </w:r>
          </w:p>
        </w:tc>
        <w:tc>
          <w:tcPr>
            <w:tcW w:type="dxa" w:w="697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Hacienda FP360</w:t>
            </w:r>
          </w:p>
        </w:tc>
        <w:tc>
          <w:tcPr>
            <w:tcW w:type="dxa" w:w="408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Servicios comunes</w:t>
            </w:r>
          </w:p>
        </w:tc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7 vistas</w:t>
            </w:r>
          </w:p>
        </w:tc>
      </w:tr>
      <w:tr>
        <w:tc>
          <w:tcPr>
            <w:tcW w:type="dxa" w:w="907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18</w:t>
            </w:r>
          </w:p>
        </w:tc>
        <w:tc>
          <w:tcPr>
            <w:tcW w:type="dxa" w:w="697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Seguridad Social FP360</w:t>
            </w:r>
          </w:p>
        </w:tc>
        <w:tc>
          <w:tcPr>
            <w:tcW w:type="dxa" w:w="408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Servicios comunes</w:t>
            </w:r>
          </w:p>
        </w:tc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7 vistas</w:t>
            </w:r>
          </w:p>
        </w:tc>
      </w:tr>
      <w:tr>
        <w:tc>
          <w:tcPr>
            <w:tcW w:type="dxa" w:w="907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19</w:t>
            </w:r>
          </w:p>
        </w:tc>
        <w:tc>
          <w:tcPr>
            <w:tcW w:type="dxa" w:w="697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Empleo FP360</w:t>
            </w:r>
          </w:p>
        </w:tc>
        <w:tc>
          <w:tcPr>
            <w:tcW w:type="dxa" w:w="408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Servicios comunes</w:t>
            </w:r>
          </w:p>
        </w:tc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6 vistas</w:t>
            </w:r>
          </w:p>
        </w:tc>
      </w:tr>
      <w:tr>
        <w:tc>
          <w:tcPr>
            <w:tcW w:type="dxa" w:w="907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20</w:t>
            </w:r>
          </w:p>
        </w:tc>
        <w:tc>
          <w:tcPr>
            <w:tcW w:type="dxa" w:w="697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Centro de comunicaciones</w:t>
            </w:r>
          </w:p>
        </w:tc>
        <w:tc>
          <w:tcPr>
            <w:tcW w:type="dxa" w:w="408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Servicios comunes</w:t>
            </w:r>
          </w:p>
        </w:tc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7 vistas</w:t>
            </w:r>
          </w:p>
        </w:tc>
      </w:tr>
      <w:tr>
        <w:tc>
          <w:tcPr>
            <w:tcW w:type="dxa" w:w="907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21</w:t>
            </w:r>
          </w:p>
        </w:tc>
        <w:tc>
          <w:tcPr>
            <w:tcW w:type="dxa" w:w="697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FP360 SIM — Dirección inteligente de simulaciones</w:t>
            </w:r>
          </w:p>
        </w:tc>
        <w:tc>
          <w:tcPr>
            <w:tcW w:type="dxa" w:w="408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Entorno educativo</w:t>
            </w:r>
          </w:p>
        </w:tc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8 vistas</w:t>
            </w:r>
          </w:p>
        </w:tc>
      </w:tr>
      <w:tr>
        <w:tc>
          <w:tcPr>
            <w:tcW w:type="dxa" w:w="907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22</w:t>
            </w:r>
          </w:p>
        </w:tc>
        <w:tc>
          <w:tcPr>
            <w:tcW w:type="dxa" w:w="697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Portafolio profesional</w:t>
            </w:r>
          </w:p>
        </w:tc>
        <w:tc>
          <w:tcPr>
            <w:tcW w:type="dxa" w:w="408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Entorno educativo</w:t>
            </w:r>
          </w:p>
        </w:tc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6 vistas</w:t>
            </w:r>
          </w:p>
        </w:tc>
      </w:tr>
      <w:tr>
        <w:tc>
          <w:tcPr>
            <w:tcW w:type="dxa" w:w="907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23</w:t>
            </w:r>
          </w:p>
        </w:tc>
        <w:tc>
          <w:tcPr>
            <w:tcW w:type="dxa" w:w="697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Evaluación docente</w:t>
            </w:r>
          </w:p>
        </w:tc>
        <w:tc>
          <w:tcPr>
            <w:tcW w:type="dxa" w:w="408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Entorno educativo</w:t>
            </w:r>
          </w:p>
        </w:tc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7 vistas</w:t>
            </w:r>
          </w:p>
        </w:tc>
      </w:tr>
      <w:tr>
        <w:tc>
          <w:tcPr>
            <w:tcW w:type="dxa" w:w="907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24</w:t>
            </w:r>
          </w:p>
        </w:tc>
        <w:tc>
          <w:tcPr>
            <w:tcW w:type="dxa" w:w="697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Mentoría empresarial</w:t>
            </w:r>
          </w:p>
        </w:tc>
        <w:tc>
          <w:tcPr>
            <w:tcW w:type="dxa" w:w="408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Entorno educativo</w:t>
            </w:r>
          </w:p>
        </w:tc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6 vistas</w:t>
            </w:r>
          </w:p>
        </w:tc>
      </w:tr>
      <w:tr>
        <w:tc>
          <w:tcPr>
            <w:tcW w:type="dxa" w:w="907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25</w:t>
            </w:r>
          </w:p>
        </w:tc>
        <w:tc>
          <w:tcPr>
            <w:tcW w:type="dxa" w:w="697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Coordinación intercentros</w:t>
            </w:r>
          </w:p>
        </w:tc>
        <w:tc>
          <w:tcPr>
            <w:tcW w:type="dxa" w:w="408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Entorno de coordinación</w:t>
            </w:r>
          </w:p>
        </w:tc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7 vistas</w:t>
            </w:r>
          </w:p>
        </w:tc>
      </w:tr>
      <w:tr>
        <w:tc>
          <w:tcPr>
            <w:tcW w:type="dxa" w:w="907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26</w:t>
            </w:r>
          </w:p>
        </w:tc>
        <w:tc>
          <w:tcPr>
            <w:tcW w:type="dxa" w:w="697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Administración del sistema</w:t>
            </w:r>
          </w:p>
        </w:tc>
        <w:tc>
          <w:tcPr>
            <w:tcW w:type="dxa" w:w="408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Entorno de coordinación</w:t>
            </w:r>
          </w:p>
        </w:tc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8 vistas</w:t>
            </w:r>
          </w:p>
        </w:tc>
      </w:tr>
    </w:tbl>
    <w:p>
      <w:pPr>
        <w:spacing w:after="20"/>
      </w:pPr>
    </w:p>
    <w:p>
      <w:pPr>
        <w:pStyle w:val="Heading1"/>
      </w:pPr>
      <w:r>
        <w:t>4.  Reglas de desarrollo y pruebas de interfaz</w:t>
      </w:r>
    </w:p>
    <w:p>
      <w:pPr>
        <w:pStyle w:val="ListBullet"/>
        <w:spacing w:after="80"/>
      </w:pPr>
      <w:r>
        <w:t>Codificar la barra superior, el sidebar, los estados y los componentes de formulario como biblioteca de UI compartida.</w:t>
      </w:r>
    </w:p>
    <w:p>
      <w:pPr>
        <w:pStyle w:val="ListBullet"/>
        <w:spacing w:after="80"/>
      </w:pPr>
      <w:r>
        <w:t>Cada pantalla debe reproducir el aspecto de su maqueta base cuando exista y usar el mismo patrón en pestañas aún no maquetadas.</w:t>
      </w:r>
    </w:p>
    <w:p>
      <w:pPr>
        <w:pStyle w:val="ListBullet"/>
        <w:spacing w:after="80"/>
      </w:pPr>
      <w:r>
        <w:t>Emplear diseño adaptativo; conservar la proporción 16:9 de las capturas que se usen como soporte de la documentación.</w:t>
      </w:r>
    </w:p>
    <w:p>
      <w:pPr>
        <w:pStyle w:val="ListBullet"/>
        <w:spacing w:after="80"/>
      </w:pPr>
      <w:r>
        <w:t>Incluir estados vacío, cargando, validación, incidencia, sin permisos, sin conexión y operación completada.</w:t>
      </w:r>
    </w:p>
    <w:p>
      <w:pPr>
        <w:pStyle w:val="ListBullet"/>
        <w:spacing w:after="80"/>
      </w:pPr>
      <w:r>
        <w:t>No inventar confirmaciones de pagos, presentaciones, altas ni evaluaciones. Esperar siempre a la respuesta de backend.</w:t>
      </w:r>
    </w:p>
    <w:p>
      <w:pPr>
        <w:pStyle w:val="ListBullet"/>
        <w:spacing w:after="80"/>
      </w:pPr>
      <w:r>
        <w:t>Implementar filtros por empresa/centro/campaña y respetar aislamiento de datos a nivel API y base de datos.</w:t>
      </w:r>
    </w:p>
    <w:p>
      <w:pPr>
        <w:pStyle w:val="ListBullet"/>
        <w:spacing w:after="80"/>
      </w:pPr>
      <w:r>
        <w:t>Anclar cada actividad profesional a documentos y estados verificables; el docente debe acceder a la evidencia individual.</w:t>
      </w:r>
    </w:p>
    <w:p>
      <w:pPr>
        <w:pStyle w:val="ListBullet"/>
        <w:spacing w:after="80"/>
      </w:pPr>
      <w:r>
        <w:t>La IA sugiere texto y acontecimientos, pero las reglas y la auditoría determinan efectos económicos.</w:t>
      </w:r>
    </w:p>
    <w:p>
      <w:pPr>
        <w:pStyle w:val="Heading1"/>
      </w:pPr>
      <w:r>
        <w:t>5.  Cobertura fiscal, laboral y bancaria</w:t>
      </w:r>
    </w:p>
    <w:p>
      <w:r>
        <w:t>Se parte de empresas simuladas de Canarias. El impuesto indirecto de trabajo es el IGIC cuando resulte aplicable al supuesto; las reglas y modelos se parametrizan por curso. Hacienda FP360, Seguridad Social FP360, Empleo FP360 y Banco FP360 son simuladores, no sedes oficiales ni servicios financieros reales. Todos sus documentos incorporarán rótulos inequívocos de simulación.</w:t>
      </w:r>
    </w:p>
    <w:p>
      <w:pPr>
        <w:pStyle w:val="Heading1"/>
      </w:pPr>
      <w:r>
        <w:t>6.  Matriz mínima de roles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40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ROL</w:t>
            </w:r>
          </w:p>
        </w:tc>
        <w:tc>
          <w:tcPr>
            <w:tcW w:type="dxa" w:w="1173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ACCESO</w:t>
            </w:r>
          </w:p>
        </w:tc>
      </w:tr>
      <w:tr>
        <w:tc>
          <w:tcPr>
            <w:tcW w:type="dxa" w:w="34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Alumno/a</w:t>
            </w:r>
          </w:p>
        </w:tc>
        <w:tc>
          <w:tcPr>
            <w:tcW w:type="dxa" w:w="1173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Empresa y departamento asignados, tareas y evidencias propias.</w:t>
            </w:r>
          </w:p>
        </w:tc>
      </w:tr>
      <w:tr>
        <w:tc>
          <w:tcPr>
            <w:tcW w:type="dxa" w:w="34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Responsable de equipo</w:t>
            </w:r>
          </w:p>
        </w:tc>
        <w:tc>
          <w:tcPr>
            <w:tcW w:type="dxa" w:w="1173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Funciones delegadas dentro de su empresa, aprobaciones limitadas.</w:t>
            </w:r>
          </w:p>
        </w:tc>
      </w:tr>
      <w:tr>
        <w:tc>
          <w:tcPr>
            <w:tcW w:type="dxa" w:w="34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Docente</w:t>
            </w:r>
          </w:p>
        </w:tc>
        <w:tc>
          <w:tcPr>
            <w:tcW w:type="dxa" w:w="1173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Campañas y grupos propios; evaluación y desbloqueo controlado.</w:t>
            </w:r>
          </w:p>
        </w:tc>
      </w:tr>
      <w:tr>
        <w:tc>
          <w:tcPr>
            <w:tcW w:type="dxa" w:w="34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Promotor/coordinador</w:t>
            </w:r>
          </w:p>
        </w:tc>
        <w:tc>
          <w:tcPr>
            <w:tcW w:type="dxa" w:w="1173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Campañas intercentros, indicadores, coordinación y difusión con acceso limitado a datos.</w:t>
            </w:r>
          </w:p>
        </w:tc>
      </w:tr>
      <w:tr>
        <w:tc>
          <w:tcPr>
            <w:tcW w:type="dxa" w:w="34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Mentor</w:t>
            </w:r>
          </w:p>
        </w:tc>
        <w:tc>
          <w:tcPr>
            <w:tcW w:type="dxa" w:w="1173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Retos y revisión profesional autorizados, sin acceso general a datos personales.</w:t>
            </w:r>
          </w:p>
        </w:tc>
      </w:tr>
      <w:tr>
        <w:tc>
          <w:tcPr>
            <w:tcW w:type="dxa" w:w="34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Administrador</w:t>
            </w:r>
          </w:p>
        </w:tc>
        <w:tc>
          <w:tcPr>
            <w:tcW w:type="dxa" w:w="1173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Gestión técnica y auditoría con registro y mínima necesidad.</w:t>
            </w:r>
          </w:p>
        </w:tc>
      </w:tr>
    </w:tbl>
    <w:p>
      <w:pPr>
        <w:spacing w:after="20"/>
      </w:pPr>
    </w:p>
    <w:p>
      <w:pPr>
        <w:pStyle w:val="Heading1"/>
      </w:pPr>
      <w:r>
        <w:t>7.  Flujo transversal de ejemplo</w:t>
      </w:r>
    </w:p>
    <w:p>
      <w:r>
        <w:t>Mercado FP360 → CRM → Presupuesto → Pedido → Reserva de inventario → Albarán/Logística → Factura con IGIC → Asiento contable → Banco FP360 → Conciliación → Portafolio → Evaluación. FP360 SIM puede introducir un impago o una reclamación coherente con esta cadena, pero no puede escribir directamente saldos.</w:t>
      </w:r>
    </w:p>
    <w:p>
      <w:pPr>
        <w:pStyle w:val="Heading1"/>
      </w:pPr>
      <w:r>
        <w:t>8.  Alcance real de los dossieres</w:t>
      </w:r>
    </w:p>
    <w:p>
      <w:r>
        <w:t>El paquete contiene la maqueta existente por aplicación (una imagen), una especificación detallada de sus pestañas adicionales y un catálogo de aceptación. La implementación final, las pruebas de usuario y la validación jurídica de formularios y parámetros normativos son fases posteriores. Los ejemplos administrativos son didácticos.</w:t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794" w:right="822" w:bottom="709" w:left="822" w:header="312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0758A"/>
        <w:sz w:val="16"/>
      </w:rPr>
      <w:t xml:space="preserve">DOCUMENTO DE DISEÑO · NO ES UNA APLICACIÓN OPERATIVA     •     </w:t>
    </w:r>
    <w:r>
      <w:rPr>
        <w:color w:val="176FD7"/>
        <w:sz w:val="16"/>
      </w:rPr>
      <w:t xml:space="preserve">PÁG.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60758A"/>
        <w:sz w:val="16"/>
      </w:rPr>
      <w:t>RED FP360  /  DISEÑO FUNCIONAL DE APLICACIONES  /  2027–2028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70" w:line="262" w:lineRule="auto"/>
    </w:pPr>
    <w:rPr>
      <w:rFonts w:ascii="Liberation Sans" w:hAnsi="Liberation Sans"/>
      <w:color w:val="112C5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176FD7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112C5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60"/>
      <w:outlineLvl w:val="2"/>
    </w:pPr>
    <w:rPr>
      <w:rFonts w:asciiTheme="majorHAnsi" w:eastAsiaTheme="majorEastAsia" w:hAnsiTheme="majorHAnsi" w:cstheme="majorBidi" w:ascii="Liberation Sans" w:hAnsi="Liberation Sans"/>
      <w:b/>
      <w:bCs/>
      <w:color w:val="176FD7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 w:before="160"/>
      <w:contextualSpacing/>
    </w:pPr>
    <w:rPr>
      <w:rFonts w:asciiTheme="majorHAnsi" w:eastAsiaTheme="majorEastAsia" w:hAnsiTheme="majorHAnsi" w:cstheme="majorBidi" w:ascii="Liberation Sans" w:hAnsi="Liberation Sans"/>
      <w:b/>
      <w:color w:val="112C5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